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46C" w:rsidRDefault="0011746C" w:rsidP="004C026C">
      <w:pPr>
        <w:pStyle w:val="Paragraphedeliste"/>
      </w:pPr>
      <w:bookmarkStart w:id="0" w:name="_GoBack"/>
      <w:bookmarkEnd w:id="0"/>
    </w:p>
    <w:p w:rsidR="0079494D" w:rsidRPr="002E100A" w:rsidRDefault="0079494D" w:rsidP="004C026C">
      <w:pPr>
        <w:pStyle w:val="Default"/>
        <w:ind w:left="284"/>
        <w:rPr>
          <w:rFonts w:asciiTheme="minorHAnsi" w:hAnsiTheme="minorHAnsi"/>
        </w:rPr>
      </w:pPr>
    </w:p>
    <w:p w:rsidR="0079494D" w:rsidRPr="002E100A" w:rsidRDefault="0079494D" w:rsidP="004C026C">
      <w:pPr>
        <w:ind w:left="284"/>
        <w:jc w:val="center"/>
        <w:rPr>
          <w:rFonts w:asciiTheme="minorHAnsi" w:hAnsiTheme="minorHAnsi"/>
          <w:b/>
          <w:u w:val="single"/>
        </w:rPr>
      </w:pPr>
      <w:r w:rsidRPr="002E100A">
        <w:rPr>
          <w:rFonts w:asciiTheme="minorHAnsi" w:hAnsiTheme="minorHAnsi"/>
          <w:b/>
          <w:u w:val="single"/>
        </w:rPr>
        <w:t xml:space="preserve">CHECKLIST COMPTES ANNUELS ASSURANCE OBLIGATOIRE </w:t>
      </w:r>
      <w:r w:rsidR="0070329D">
        <w:rPr>
          <w:rFonts w:asciiTheme="minorHAnsi" w:hAnsiTheme="minorHAnsi"/>
          <w:b/>
          <w:u w:val="single"/>
        </w:rPr>
        <w:t xml:space="preserve">REGIONALE </w:t>
      </w:r>
      <w:r w:rsidRPr="002E100A">
        <w:rPr>
          <w:rFonts w:asciiTheme="minorHAnsi" w:hAnsiTheme="minorHAnsi"/>
          <w:b/>
          <w:u w:val="single"/>
        </w:rPr>
        <w:t>(</w:t>
      </w:r>
      <w:r w:rsidR="002E100A">
        <w:rPr>
          <w:rFonts w:asciiTheme="minorHAnsi" w:hAnsiTheme="minorHAnsi"/>
          <w:b/>
          <w:u w:val="single"/>
        </w:rPr>
        <w:t>AO</w:t>
      </w:r>
      <w:r w:rsidR="0070329D">
        <w:rPr>
          <w:rFonts w:asciiTheme="minorHAnsi" w:hAnsiTheme="minorHAnsi"/>
          <w:b/>
          <w:u w:val="single"/>
        </w:rPr>
        <w:t>R</w:t>
      </w:r>
      <w:r w:rsidR="002E100A">
        <w:rPr>
          <w:rFonts w:asciiTheme="minorHAnsi" w:hAnsiTheme="minorHAnsi"/>
          <w:b/>
          <w:u w:val="single"/>
        </w:rPr>
        <w:t>)</w:t>
      </w:r>
    </w:p>
    <w:p w:rsidR="0079494D" w:rsidRPr="002E100A" w:rsidRDefault="0079494D" w:rsidP="004C026C">
      <w:pPr>
        <w:pStyle w:val="Default"/>
        <w:ind w:left="284"/>
        <w:rPr>
          <w:rFonts w:asciiTheme="minorHAnsi" w:hAnsiTheme="minorHAnsi"/>
          <w:b/>
          <w:bCs/>
          <w:sz w:val="22"/>
          <w:szCs w:val="22"/>
          <w:lang w:val="fr-BE"/>
        </w:rPr>
      </w:pPr>
    </w:p>
    <w:p w:rsidR="0070329D" w:rsidRPr="0070329D" w:rsidRDefault="008C5E49" w:rsidP="0070329D">
      <w:pPr>
        <w:ind w:left="284"/>
        <w:rPr>
          <w:rFonts w:asciiTheme="minorHAnsi" w:hAnsiTheme="minorHAnsi" w:cstheme="minorHAnsi"/>
        </w:rPr>
      </w:pPr>
      <w:r w:rsidRPr="0070329D">
        <w:rPr>
          <w:rFonts w:asciiTheme="minorHAnsi" w:hAnsiTheme="minorHAnsi"/>
        </w:rPr>
        <w:t xml:space="preserve">La checklist ci-dessous reprend les points </w:t>
      </w:r>
      <w:r w:rsidR="0070329D" w:rsidRPr="0070329D">
        <w:rPr>
          <w:rFonts w:asciiTheme="minorHAnsi" w:hAnsiTheme="minorHAnsi" w:cstheme="minorHAnsi"/>
        </w:rPr>
        <w:t xml:space="preserve">sur lesquels il faut faire </w:t>
      </w:r>
      <w:r w:rsidR="0070329D">
        <w:rPr>
          <w:rFonts w:asciiTheme="minorHAnsi" w:hAnsiTheme="minorHAnsi" w:cstheme="minorHAnsi"/>
        </w:rPr>
        <w:t>attention lors de l'établissement et le dépôt des comptes annuels de l'assurance obligatoire régionale.</w:t>
      </w:r>
    </w:p>
    <w:p w:rsidR="0070329D" w:rsidRDefault="0070329D" w:rsidP="0070329D">
      <w:pPr>
        <w:ind w:left="284"/>
        <w:rPr>
          <w:rFonts w:asciiTheme="minorHAnsi" w:hAnsiTheme="minorHAnsi" w:cstheme="minorHAnsi"/>
        </w:rPr>
      </w:pPr>
    </w:p>
    <w:p w:rsidR="00540297" w:rsidRPr="0014710F" w:rsidRDefault="00540297" w:rsidP="00540297">
      <w:pPr>
        <w:pStyle w:val="En-tte"/>
        <w:ind w:left="426"/>
        <w:rPr>
          <w:rFonts w:asciiTheme="minorHAnsi" w:hAnsiTheme="minorHAnsi" w:cstheme="minorHAnsi"/>
          <w:u w:val="single"/>
        </w:rPr>
      </w:pPr>
      <w:r w:rsidRPr="0014710F">
        <w:rPr>
          <w:rFonts w:asciiTheme="minorHAnsi" w:hAnsiTheme="minorHAnsi" w:cstheme="minorHAnsi"/>
          <w:u w:val="single"/>
        </w:rPr>
        <w:t>Établissement des comptes annuels</w:t>
      </w:r>
    </w:p>
    <w:p w:rsidR="00540297" w:rsidRPr="0014710F" w:rsidRDefault="00540297" w:rsidP="00540297">
      <w:pPr>
        <w:pStyle w:val="En-tte"/>
        <w:ind w:left="426"/>
        <w:rPr>
          <w:rFonts w:asciiTheme="minorHAnsi" w:hAnsiTheme="minorHAnsi" w:cstheme="minorHAnsi"/>
        </w:rPr>
      </w:pPr>
    </w:p>
    <w:p w:rsidR="00540297" w:rsidRPr="0014710F" w:rsidRDefault="00540297" w:rsidP="00540297">
      <w:pPr>
        <w:pStyle w:val="En-tte"/>
        <w:ind w:left="426"/>
        <w:rPr>
          <w:rFonts w:asciiTheme="minorHAnsi" w:hAnsiTheme="minorHAnsi" w:cstheme="minorHAnsi"/>
        </w:rPr>
      </w:pPr>
      <w:r w:rsidRPr="0014710F">
        <w:rPr>
          <w:rFonts w:asciiTheme="minorHAnsi" w:hAnsiTheme="minorHAnsi" w:cstheme="minorHAnsi"/>
        </w:rPr>
        <w:t>Les comptes annuels sont établis au moyen de fichiers Excel, avec une page de garde en Word :</w:t>
      </w:r>
    </w:p>
    <w:p w:rsidR="00540297" w:rsidRPr="0014710F" w:rsidRDefault="00540297" w:rsidP="00540297">
      <w:pPr>
        <w:pStyle w:val="En-tte"/>
        <w:numPr>
          <w:ilvl w:val="0"/>
          <w:numId w:val="4"/>
        </w:numPr>
        <w:tabs>
          <w:tab w:val="clear" w:pos="4680"/>
          <w:tab w:val="clear" w:pos="9360"/>
        </w:tabs>
        <w:rPr>
          <w:rFonts w:asciiTheme="minorHAnsi" w:hAnsiTheme="minorHAnsi" w:cstheme="minorHAnsi"/>
        </w:rPr>
      </w:pPr>
      <w:r w:rsidRPr="0014710F">
        <w:rPr>
          <w:rFonts w:asciiTheme="minorHAnsi" w:hAnsiTheme="minorHAnsi" w:cstheme="minorHAnsi"/>
        </w:rPr>
        <w:t>Par entité juridique (SMR, CAAMI ou CSS de HR Rail), une seule page de garde doit être prévue, étant donné que la date de l’assemblée générale, la composition des organes de gestion et le réviseur désigné ne peuvent pas différer en fonction de l’entité fédérée à laquelle les comptes annuels se rapportent.</w:t>
      </w:r>
    </w:p>
    <w:p w:rsidR="00540297" w:rsidRPr="0014710F" w:rsidRDefault="00540297" w:rsidP="00540297">
      <w:pPr>
        <w:pStyle w:val="En-tte"/>
        <w:numPr>
          <w:ilvl w:val="0"/>
          <w:numId w:val="4"/>
        </w:numPr>
        <w:tabs>
          <w:tab w:val="clear" w:pos="4680"/>
          <w:tab w:val="clear" w:pos="9360"/>
        </w:tabs>
        <w:rPr>
          <w:rFonts w:asciiTheme="minorHAnsi" w:hAnsiTheme="minorHAnsi" w:cstheme="minorHAnsi"/>
        </w:rPr>
      </w:pPr>
      <w:r w:rsidRPr="0014710F">
        <w:rPr>
          <w:rFonts w:asciiTheme="minorHAnsi" w:hAnsiTheme="minorHAnsi" w:cstheme="minorHAnsi"/>
        </w:rPr>
        <w:t>Sur la page de garde des comptes annuels relatifs à la Communauté flamande, il est demandé, dans un souci de transparence, de mentionner, outre le nom de l’union nationale, « compétences Communauté flamande ». Pour la CAAMI et la CSS, les différents comptes annuels sont séparés par des intercalaires, de sorte que l’indication est automatiquement renseignée</w:t>
      </w:r>
      <w:r>
        <w:rPr>
          <w:rFonts w:asciiTheme="minorHAnsi" w:hAnsiTheme="minorHAnsi" w:cstheme="minorHAnsi"/>
        </w:rPr>
        <w:t>.</w:t>
      </w:r>
    </w:p>
    <w:p w:rsidR="00540297" w:rsidRPr="0014710F" w:rsidRDefault="00540297" w:rsidP="00540297">
      <w:pPr>
        <w:pStyle w:val="En-tte"/>
        <w:numPr>
          <w:ilvl w:val="0"/>
          <w:numId w:val="4"/>
        </w:numPr>
        <w:tabs>
          <w:tab w:val="clear" w:pos="4680"/>
          <w:tab w:val="clear" w:pos="9360"/>
        </w:tabs>
        <w:rPr>
          <w:rFonts w:asciiTheme="minorHAnsi" w:hAnsiTheme="minorHAnsi" w:cstheme="minorHAnsi"/>
        </w:rPr>
      </w:pPr>
      <w:r w:rsidRPr="0014710F">
        <w:rPr>
          <w:rFonts w:asciiTheme="minorHAnsi" w:hAnsiTheme="minorHAnsi" w:cstheme="minorHAnsi"/>
        </w:rPr>
        <w:t xml:space="preserve">Dans les fichiers Excel des comptes annuels, il est demandé de mentionner dans la case prévue en haut à gauche (case n° d’identification) le numéro de l’entité qui a été octroyé par l’Office, au lieu du n° BCE (qui est déjà mentionné sur la première page). Cela permet au lecteur d’assimiler les comptes annuels avec la liste des n° d’agrément des entités mutualistes qui est reprise sur le site web de l’Office. Si l’entité établit </w:t>
      </w:r>
      <w:r w:rsidRPr="0014710F">
        <w:rPr>
          <w:rFonts w:asciiTheme="minorHAnsi" w:hAnsiTheme="minorHAnsi" w:cstheme="minorHAnsi"/>
          <w:u w:val="single"/>
        </w:rPr>
        <w:t>plusieurs</w:t>
      </w:r>
      <w:r w:rsidRPr="0014710F">
        <w:rPr>
          <w:rFonts w:asciiTheme="minorHAnsi" w:hAnsiTheme="minorHAnsi" w:cstheme="minorHAnsi"/>
        </w:rPr>
        <w:t xml:space="preserve"> comptes annuels, ce numéro d’agrément doit être suivi du nom de la communauté ou région. </w:t>
      </w:r>
    </w:p>
    <w:p w:rsidR="00540297" w:rsidRPr="0014710F" w:rsidRDefault="00540297" w:rsidP="00540297">
      <w:pPr>
        <w:pStyle w:val="En-tte"/>
        <w:numPr>
          <w:ilvl w:val="0"/>
          <w:numId w:val="4"/>
        </w:numPr>
        <w:tabs>
          <w:tab w:val="clear" w:pos="4680"/>
          <w:tab w:val="clear" w:pos="9360"/>
        </w:tabs>
        <w:rPr>
          <w:rFonts w:asciiTheme="minorHAnsi" w:hAnsiTheme="minorHAnsi" w:cstheme="minorHAnsi"/>
        </w:rPr>
      </w:pPr>
      <w:r w:rsidRPr="0014710F">
        <w:rPr>
          <w:rFonts w:asciiTheme="minorHAnsi" w:hAnsiTheme="minorHAnsi" w:cstheme="minorHAnsi"/>
        </w:rPr>
        <w:t xml:space="preserve">Les comptes annuels prévoient toujours un </w:t>
      </w:r>
      <w:proofErr w:type="spellStart"/>
      <w:r w:rsidRPr="0014710F">
        <w:rPr>
          <w:rFonts w:asciiTheme="minorHAnsi" w:hAnsiTheme="minorHAnsi" w:cstheme="minorHAnsi"/>
        </w:rPr>
        <w:t>template</w:t>
      </w:r>
      <w:proofErr w:type="spellEnd"/>
      <w:r w:rsidRPr="0014710F">
        <w:rPr>
          <w:rFonts w:asciiTheme="minorHAnsi" w:hAnsiTheme="minorHAnsi" w:cstheme="minorHAnsi"/>
        </w:rPr>
        <w:t xml:space="preserve"> (page SMR.12) pour le résumé des règles d’évaluation. Il est demandé de remplir cette page.</w:t>
      </w:r>
    </w:p>
    <w:p w:rsidR="00540297" w:rsidRPr="00B61BCB" w:rsidRDefault="00540297" w:rsidP="00540297">
      <w:pPr>
        <w:pStyle w:val="En-tte"/>
        <w:numPr>
          <w:ilvl w:val="0"/>
          <w:numId w:val="4"/>
        </w:numPr>
        <w:rPr>
          <w:rFonts w:ascii="Calibri" w:hAnsi="Calibri" w:cs="Calibri"/>
        </w:rPr>
      </w:pPr>
      <w:r w:rsidRPr="00540297">
        <w:rPr>
          <w:rFonts w:ascii="Calibri" w:hAnsi="Calibri" w:cs="Calibri"/>
        </w:rPr>
        <w:t xml:space="preserve">Dans l'état XI à la page SMR.12 de l'annexe, il est demandé d'indiquer </w:t>
      </w:r>
      <w:r w:rsidRPr="002E100A">
        <w:rPr>
          <w:rFonts w:asciiTheme="minorHAnsi" w:hAnsiTheme="minorHAnsi"/>
        </w:rPr>
        <w:t xml:space="preserve">que les provisions pour pécules de vacances et prépensions sont comptabilisées en assurance complémentaire </w:t>
      </w:r>
      <w:r>
        <w:rPr>
          <w:rFonts w:asciiTheme="minorHAnsi" w:hAnsiTheme="minorHAnsi"/>
        </w:rPr>
        <w:t xml:space="preserve">ainsi </w:t>
      </w:r>
      <w:r w:rsidRPr="002E100A">
        <w:rPr>
          <w:rFonts w:asciiTheme="minorHAnsi" w:hAnsiTheme="minorHAnsi"/>
        </w:rPr>
        <w:t>qu'une quote-part de ces provisions est à charge de l'assurance obligatoire</w:t>
      </w:r>
      <w:r>
        <w:rPr>
          <w:rFonts w:asciiTheme="minorHAnsi" w:hAnsiTheme="minorHAnsi"/>
        </w:rPr>
        <w:t xml:space="preserve"> régionale</w:t>
      </w:r>
      <w:r w:rsidRPr="002E100A">
        <w:rPr>
          <w:rFonts w:asciiTheme="minorHAnsi" w:hAnsiTheme="minorHAnsi"/>
        </w:rPr>
        <w:t xml:space="preserve"> (le montant et la quote-part de l'assurance obligatoire </w:t>
      </w:r>
      <w:r>
        <w:rPr>
          <w:rFonts w:asciiTheme="minorHAnsi" w:hAnsiTheme="minorHAnsi"/>
        </w:rPr>
        <w:t xml:space="preserve">régionale </w:t>
      </w:r>
      <w:r w:rsidRPr="002E100A">
        <w:rPr>
          <w:rFonts w:asciiTheme="minorHAnsi" w:hAnsiTheme="minorHAnsi"/>
        </w:rPr>
        <w:t>ne doivent pas être mentionnés).</w:t>
      </w:r>
    </w:p>
    <w:p w:rsidR="00B61BCB" w:rsidRPr="004E13F0" w:rsidRDefault="00B61BCB" w:rsidP="00540297">
      <w:pPr>
        <w:pStyle w:val="En-tte"/>
        <w:numPr>
          <w:ilvl w:val="0"/>
          <w:numId w:val="4"/>
        </w:numPr>
        <w:rPr>
          <w:rFonts w:ascii="Calibri" w:hAnsi="Calibri" w:cs="Calibri"/>
        </w:rPr>
      </w:pPr>
      <w:r w:rsidRPr="004E13F0">
        <w:rPr>
          <w:rFonts w:ascii="Calibri" w:hAnsi="Calibri" w:cs="Calibri"/>
        </w:rPr>
        <w:t>La colonne « Année N-1 » dans les pages SMR.1, SMR.2, SMR.3 et SMR.4 doit également être complétée.</w:t>
      </w:r>
    </w:p>
    <w:p w:rsidR="00B61BCB" w:rsidRPr="004E13F0" w:rsidRDefault="00B61BCB" w:rsidP="00A71A6C">
      <w:pPr>
        <w:pStyle w:val="En-tte"/>
        <w:numPr>
          <w:ilvl w:val="0"/>
          <w:numId w:val="4"/>
        </w:numPr>
        <w:rPr>
          <w:rFonts w:ascii="Calibri" w:hAnsi="Calibri" w:cs="Calibri"/>
        </w:rPr>
      </w:pPr>
      <w:r w:rsidRPr="004E13F0">
        <w:rPr>
          <w:rFonts w:ascii="Calibri" w:hAnsi="Calibri" w:cs="Calibri"/>
        </w:rPr>
        <w:t xml:space="preserve">Le montant qui est mentionné à la page SMR.4 </w:t>
      </w:r>
      <w:r w:rsidR="000F311B" w:rsidRPr="004E13F0">
        <w:rPr>
          <w:rFonts w:ascii="Calibri" w:hAnsi="Calibri" w:cs="Calibri"/>
        </w:rPr>
        <w:t xml:space="preserve">dans la rubrique XXVI.A dans la colonne « Année N » doit correspondre au montant mentionné </w:t>
      </w:r>
      <w:r w:rsidRPr="004E13F0">
        <w:rPr>
          <w:rFonts w:ascii="Calibri" w:hAnsi="Calibri" w:cs="Calibri"/>
        </w:rPr>
        <w:t>dans la rubrique XXVI.C dans la colonne « Année N-1 ».</w:t>
      </w:r>
    </w:p>
    <w:p w:rsidR="00540297" w:rsidRPr="000F311B" w:rsidRDefault="00540297" w:rsidP="00540297">
      <w:pPr>
        <w:pStyle w:val="En-tte"/>
        <w:ind w:left="426"/>
        <w:rPr>
          <w:rFonts w:asciiTheme="minorHAnsi" w:hAnsiTheme="minorHAnsi" w:cstheme="minorHAnsi"/>
        </w:rPr>
      </w:pPr>
    </w:p>
    <w:p w:rsidR="00540297" w:rsidRPr="000F311B" w:rsidRDefault="00540297" w:rsidP="00540297">
      <w:pPr>
        <w:pStyle w:val="En-tte"/>
        <w:ind w:left="426"/>
        <w:rPr>
          <w:rFonts w:asciiTheme="minorHAnsi" w:hAnsiTheme="minorHAnsi" w:cstheme="minorHAnsi"/>
        </w:rPr>
      </w:pPr>
    </w:p>
    <w:p w:rsidR="00540297" w:rsidRPr="0014710F" w:rsidRDefault="00540297" w:rsidP="00540297">
      <w:pPr>
        <w:pStyle w:val="En-tte"/>
        <w:ind w:left="426"/>
        <w:rPr>
          <w:rFonts w:asciiTheme="minorHAnsi" w:hAnsiTheme="minorHAnsi" w:cstheme="minorHAnsi"/>
          <w:u w:val="single"/>
        </w:rPr>
      </w:pPr>
      <w:r w:rsidRPr="0014710F">
        <w:rPr>
          <w:rFonts w:asciiTheme="minorHAnsi" w:hAnsiTheme="minorHAnsi" w:cstheme="minorHAnsi"/>
          <w:u w:val="single"/>
        </w:rPr>
        <w:t>Dépôt de comptes annuels</w:t>
      </w:r>
    </w:p>
    <w:p w:rsidR="00540297" w:rsidRPr="0014710F" w:rsidRDefault="00540297" w:rsidP="00540297">
      <w:pPr>
        <w:pStyle w:val="En-tte"/>
        <w:ind w:left="786"/>
        <w:rPr>
          <w:rFonts w:asciiTheme="minorHAnsi" w:hAnsiTheme="minorHAnsi" w:cstheme="minorHAnsi"/>
          <w:lang w:val="nl-BE"/>
        </w:rPr>
      </w:pPr>
    </w:p>
    <w:p w:rsidR="00540297" w:rsidRPr="0014710F" w:rsidRDefault="00540297" w:rsidP="00540297">
      <w:pPr>
        <w:pStyle w:val="En-tte"/>
        <w:numPr>
          <w:ilvl w:val="0"/>
          <w:numId w:val="4"/>
        </w:numPr>
        <w:tabs>
          <w:tab w:val="clear" w:pos="4680"/>
          <w:tab w:val="clear" w:pos="9360"/>
        </w:tabs>
        <w:rPr>
          <w:rFonts w:asciiTheme="minorHAnsi" w:hAnsiTheme="minorHAnsi" w:cstheme="minorHAnsi"/>
        </w:rPr>
      </w:pPr>
      <w:r w:rsidRPr="0014710F">
        <w:rPr>
          <w:rFonts w:asciiTheme="minorHAnsi" w:hAnsiTheme="minorHAnsi" w:cstheme="minorHAnsi"/>
        </w:rPr>
        <w:t>Le rapport du réviseur à l’assemblée générale doit, dans le fichier à déposer, suivre les comptes annuels complets.</w:t>
      </w:r>
    </w:p>
    <w:p w:rsidR="00540297" w:rsidRPr="0014710F" w:rsidRDefault="00540297" w:rsidP="00540297">
      <w:pPr>
        <w:pStyle w:val="En-tte"/>
        <w:numPr>
          <w:ilvl w:val="0"/>
          <w:numId w:val="4"/>
        </w:numPr>
        <w:tabs>
          <w:tab w:val="clear" w:pos="4680"/>
          <w:tab w:val="clear" w:pos="9360"/>
        </w:tabs>
        <w:rPr>
          <w:rFonts w:asciiTheme="minorHAnsi" w:hAnsiTheme="minorHAnsi" w:cstheme="minorHAnsi"/>
        </w:rPr>
      </w:pPr>
      <w:r w:rsidRPr="0014710F">
        <w:rPr>
          <w:rFonts w:asciiTheme="minorHAnsi" w:hAnsiTheme="minorHAnsi" w:cstheme="minorHAnsi"/>
        </w:rPr>
        <w:t>Les schémas sur le site web de l’Office contiennent également une feuille de calcul avec des formules de contrôle. L’objectif n’est pas que cette feuille de travail soit jointe aux états à déposer.</w:t>
      </w:r>
    </w:p>
    <w:p w:rsidR="00540297" w:rsidRPr="0014710F" w:rsidRDefault="00540297" w:rsidP="00540297">
      <w:pPr>
        <w:pStyle w:val="En-tte"/>
        <w:numPr>
          <w:ilvl w:val="0"/>
          <w:numId w:val="4"/>
        </w:numPr>
        <w:tabs>
          <w:tab w:val="clear" w:pos="4680"/>
          <w:tab w:val="clear" w:pos="9360"/>
        </w:tabs>
        <w:rPr>
          <w:rFonts w:asciiTheme="minorHAnsi" w:hAnsiTheme="minorHAnsi" w:cstheme="minorHAnsi"/>
        </w:rPr>
      </w:pPr>
      <w:r w:rsidRPr="0014710F">
        <w:rPr>
          <w:rFonts w:asciiTheme="minorHAnsi" w:hAnsiTheme="minorHAnsi" w:cstheme="minorHAnsi"/>
        </w:rPr>
        <w:t>Le dépôt doit comporter toutes les pages des comptes annuels, y compris les pages vierges.</w:t>
      </w:r>
    </w:p>
    <w:p w:rsidR="00540297" w:rsidRPr="0070329D" w:rsidRDefault="00540297" w:rsidP="0070329D">
      <w:pPr>
        <w:ind w:left="284"/>
        <w:rPr>
          <w:rFonts w:asciiTheme="minorHAnsi" w:hAnsiTheme="minorHAnsi" w:cstheme="minorHAnsi"/>
        </w:rPr>
      </w:pPr>
    </w:p>
    <w:p w:rsidR="0011746C" w:rsidRPr="002E100A" w:rsidRDefault="0011746C" w:rsidP="00540297">
      <w:pPr>
        <w:spacing w:after="240"/>
        <w:rPr>
          <w:rFonts w:asciiTheme="minorHAnsi" w:hAnsiTheme="minorHAnsi"/>
        </w:rPr>
      </w:pPr>
    </w:p>
    <w:sectPr w:rsidR="0011746C" w:rsidRPr="002E100A" w:rsidSect="00B4250F">
      <w:headerReference w:type="default" r:id="rId7"/>
      <w:pgSz w:w="11907" w:h="16840"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8C6" w:rsidRDefault="005E08C6" w:rsidP="00182672">
      <w:r>
        <w:separator/>
      </w:r>
    </w:p>
  </w:endnote>
  <w:endnote w:type="continuationSeparator" w:id="0">
    <w:p w:rsidR="005E08C6" w:rsidRDefault="005E08C6" w:rsidP="0018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8C6" w:rsidRDefault="005E08C6" w:rsidP="00182672">
      <w:r>
        <w:separator/>
      </w:r>
    </w:p>
  </w:footnote>
  <w:footnote w:type="continuationSeparator" w:id="0">
    <w:p w:rsidR="005E08C6" w:rsidRDefault="005E08C6" w:rsidP="00182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3829"/>
      <w:docPartObj>
        <w:docPartGallery w:val="Page Numbers (Top of Page)"/>
        <w:docPartUnique/>
      </w:docPartObj>
    </w:sdtPr>
    <w:sdtEndPr/>
    <w:sdtContent>
      <w:p w:rsidR="00182672" w:rsidRPr="00337BCA" w:rsidRDefault="00F23798">
        <w:pPr>
          <w:pStyle w:val="En-tte"/>
          <w:jc w:val="right"/>
        </w:pPr>
        <w:r w:rsidRPr="00337BCA">
          <w:fldChar w:fldCharType="begin"/>
        </w:r>
        <w:r w:rsidR="00182672" w:rsidRPr="00337BCA">
          <w:instrText xml:space="preserve"> PAGE   \* MERGEFORMAT </w:instrText>
        </w:r>
        <w:r w:rsidRPr="00337BCA">
          <w:fldChar w:fldCharType="separate"/>
        </w:r>
        <w:r w:rsidR="0011746C">
          <w:rPr>
            <w:noProof/>
          </w:rPr>
          <w:t>2</w:t>
        </w:r>
        <w:r w:rsidRPr="00337BCA">
          <w:fldChar w:fldCharType="end"/>
        </w:r>
        <w:r w:rsidR="00182672" w:rsidRPr="00337BCA">
          <w:t>.</w:t>
        </w:r>
      </w:p>
    </w:sdtContent>
  </w:sdt>
  <w:p w:rsidR="00182672" w:rsidRDefault="001826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47CF"/>
    <w:multiLevelType w:val="hybridMultilevel"/>
    <w:tmpl w:val="1C40321C"/>
    <w:lvl w:ilvl="0" w:tplc="0813000B">
      <w:start w:val="1"/>
      <w:numFmt w:val="bullet"/>
      <w:lvlText w:val=""/>
      <w:lvlJc w:val="left"/>
      <w:pPr>
        <w:ind w:left="1077" w:hanging="360"/>
      </w:pPr>
      <w:rPr>
        <w:rFonts w:ascii="Wingdings" w:hAnsi="Wingdings"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 w15:restartNumberingAfterBreak="0">
    <w:nsid w:val="2B8E1D82"/>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CBF393B"/>
    <w:multiLevelType w:val="hybridMultilevel"/>
    <w:tmpl w:val="E4E260A6"/>
    <w:lvl w:ilvl="0" w:tplc="218A0714">
      <w:numFmt w:val="bullet"/>
      <w:lvlText w:val="-"/>
      <w:lvlJc w:val="left"/>
      <w:pPr>
        <w:ind w:left="786" w:hanging="360"/>
      </w:pPr>
      <w:rPr>
        <w:rFonts w:ascii="Calibri" w:eastAsia="Times New Roman" w:hAnsi="Calibri" w:cs="Calibri"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3" w15:restartNumberingAfterBreak="0">
    <w:nsid w:val="56827791"/>
    <w:multiLevelType w:val="hybridMultilevel"/>
    <w:tmpl w:val="7FD6AB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94D"/>
    <w:rsid w:val="000A6908"/>
    <w:rsid w:val="000F311B"/>
    <w:rsid w:val="0011483F"/>
    <w:rsid w:val="0011746C"/>
    <w:rsid w:val="0013717F"/>
    <w:rsid w:val="001570B6"/>
    <w:rsid w:val="00182672"/>
    <w:rsid w:val="002E100A"/>
    <w:rsid w:val="00311A0B"/>
    <w:rsid w:val="00337BCA"/>
    <w:rsid w:val="00337E14"/>
    <w:rsid w:val="00350B48"/>
    <w:rsid w:val="00352832"/>
    <w:rsid w:val="00363F49"/>
    <w:rsid w:val="004C026C"/>
    <w:rsid w:val="004E13F0"/>
    <w:rsid w:val="004E406D"/>
    <w:rsid w:val="00540297"/>
    <w:rsid w:val="0059250A"/>
    <w:rsid w:val="00597CFB"/>
    <w:rsid w:val="005C34C9"/>
    <w:rsid w:val="005E08C6"/>
    <w:rsid w:val="0061497A"/>
    <w:rsid w:val="00625EBE"/>
    <w:rsid w:val="006629B8"/>
    <w:rsid w:val="00682E19"/>
    <w:rsid w:val="006D02E8"/>
    <w:rsid w:val="0070307E"/>
    <w:rsid w:val="0070329D"/>
    <w:rsid w:val="007163F8"/>
    <w:rsid w:val="00717D66"/>
    <w:rsid w:val="00770B5A"/>
    <w:rsid w:val="00787BD5"/>
    <w:rsid w:val="0079494D"/>
    <w:rsid w:val="007E5E56"/>
    <w:rsid w:val="007E6170"/>
    <w:rsid w:val="007F3815"/>
    <w:rsid w:val="0084594E"/>
    <w:rsid w:val="008C5E49"/>
    <w:rsid w:val="008D3708"/>
    <w:rsid w:val="00901B0D"/>
    <w:rsid w:val="009E4ADB"/>
    <w:rsid w:val="00A1787D"/>
    <w:rsid w:val="00A26CA0"/>
    <w:rsid w:val="00A566E9"/>
    <w:rsid w:val="00A67704"/>
    <w:rsid w:val="00A71A6C"/>
    <w:rsid w:val="00A92ADC"/>
    <w:rsid w:val="00AA0438"/>
    <w:rsid w:val="00AC6797"/>
    <w:rsid w:val="00B4250F"/>
    <w:rsid w:val="00B44227"/>
    <w:rsid w:val="00B61BCB"/>
    <w:rsid w:val="00BB31F4"/>
    <w:rsid w:val="00BD7DE4"/>
    <w:rsid w:val="00C17807"/>
    <w:rsid w:val="00D005AB"/>
    <w:rsid w:val="00D23A85"/>
    <w:rsid w:val="00DF469E"/>
    <w:rsid w:val="00E12089"/>
    <w:rsid w:val="00E16887"/>
    <w:rsid w:val="00EE00A2"/>
    <w:rsid w:val="00F237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83EC9-2C3D-44BB-BECB-6EB53469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E49"/>
    <w:pPr>
      <w:spacing w:line="240" w:lineRule="auto"/>
      <w:jc w:val="both"/>
    </w:pPr>
    <w:rPr>
      <w:rFonts w:ascii="Times New Roman" w:eastAsia="Times New Roman" w:hAnsi="Times New Roman" w:cs="Times New Roman"/>
      <w:szCs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37E14"/>
    <w:pPr>
      <w:spacing w:line="240" w:lineRule="auto"/>
    </w:pPr>
  </w:style>
  <w:style w:type="paragraph" w:styleId="En-tte">
    <w:name w:val="header"/>
    <w:basedOn w:val="Normal"/>
    <w:link w:val="En-tteCar"/>
    <w:uiPriority w:val="99"/>
    <w:unhideWhenUsed/>
    <w:rsid w:val="00182672"/>
    <w:pPr>
      <w:tabs>
        <w:tab w:val="center" w:pos="4680"/>
        <w:tab w:val="right" w:pos="9360"/>
      </w:tabs>
    </w:pPr>
  </w:style>
  <w:style w:type="character" w:customStyle="1" w:styleId="En-tteCar">
    <w:name w:val="En-tête Car"/>
    <w:basedOn w:val="Policepardfaut"/>
    <w:link w:val="En-tte"/>
    <w:uiPriority w:val="99"/>
    <w:rsid w:val="00182672"/>
    <w:rPr>
      <w:lang w:val="nl-BE"/>
    </w:rPr>
  </w:style>
  <w:style w:type="paragraph" w:styleId="Pieddepage">
    <w:name w:val="footer"/>
    <w:basedOn w:val="Normal"/>
    <w:link w:val="PieddepageCar"/>
    <w:uiPriority w:val="99"/>
    <w:semiHidden/>
    <w:unhideWhenUsed/>
    <w:rsid w:val="00182672"/>
    <w:pPr>
      <w:tabs>
        <w:tab w:val="center" w:pos="4680"/>
        <w:tab w:val="right" w:pos="9360"/>
      </w:tabs>
    </w:pPr>
  </w:style>
  <w:style w:type="character" w:customStyle="1" w:styleId="PieddepageCar">
    <w:name w:val="Pied de page Car"/>
    <w:basedOn w:val="Policepardfaut"/>
    <w:link w:val="Pieddepage"/>
    <w:uiPriority w:val="99"/>
    <w:semiHidden/>
    <w:rsid w:val="00182672"/>
    <w:rPr>
      <w:lang w:val="nl-BE"/>
    </w:rPr>
  </w:style>
  <w:style w:type="paragraph" w:customStyle="1" w:styleId="Default">
    <w:name w:val="Default"/>
    <w:rsid w:val="0079494D"/>
    <w:pPr>
      <w:autoSpaceDE w:val="0"/>
      <w:autoSpaceDN w:val="0"/>
      <w:adjustRightInd w:val="0"/>
      <w:spacing w:line="240" w:lineRule="auto"/>
    </w:pPr>
    <w:rPr>
      <w:rFonts w:ascii="Calibri" w:hAnsi="Calibri" w:cs="Calibri"/>
      <w:color w:val="000000"/>
      <w:sz w:val="24"/>
      <w:szCs w:val="24"/>
      <w:lang w:val="nl-BE"/>
    </w:rPr>
  </w:style>
  <w:style w:type="paragraph" w:styleId="Paragraphedeliste">
    <w:name w:val="List Paragraph"/>
    <w:basedOn w:val="Normal"/>
    <w:uiPriority w:val="34"/>
    <w:qFormat/>
    <w:rsid w:val="004C026C"/>
    <w:pPr>
      <w:ind w:left="720"/>
      <w:contextualSpacing/>
      <w:jc w:val="left"/>
    </w:pPr>
    <w:rPr>
      <w:rFonts w:eastAsiaTheme="minorHAnsi"/>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2377</Characters>
  <Application>Microsoft Office Word</Application>
  <DocSecurity>0</DocSecurity>
  <Lines>19</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Verschoren</dc:creator>
  <cp:keywords/>
  <dc:description/>
  <cp:lastModifiedBy>François Lejeune</cp:lastModifiedBy>
  <cp:revision>2</cp:revision>
  <dcterms:created xsi:type="dcterms:W3CDTF">2021-05-11T15:26:00Z</dcterms:created>
  <dcterms:modified xsi:type="dcterms:W3CDTF">2021-05-11T15:26:00Z</dcterms:modified>
</cp:coreProperties>
</file>